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D44365D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451C79">
        <w:rPr>
          <w:color w:val="000000"/>
          <w:sz w:val="28"/>
          <w:szCs w:val="28"/>
        </w:rPr>
        <w:t>Prot</w:t>
      </w:r>
      <w:proofErr w:type="spellEnd"/>
      <w:r w:rsidRPr="00451C79">
        <w:rPr>
          <w:color w:val="000000"/>
          <w:sz w:val="28"/>
          <w:szCs w:val="28"/>
        </w:rPr>
        <w:t>. n.</w:t>
      </w:r>
      <w:r w:rsidRPr="00451C79">
        <w:rPr>
          <w:color w:val="000000"/>
          <w:sz w:val="28"/>
          <w:szCs w:val="28"/>
        </w:rPr>
        <w:t xml:space="preserve"> </w:t>
      </w:r>
      <w:r w:rsidR="00451C79" w:rsidRPr="00451C79">
        <w:rPr>
          <w:color w:val="000000"/>
          <w:sz w:val="28"/>
          <w:szCs w:val="28"/>
        </w:rPr>
        <w:t>3357/IV.1</w:t>
      </w:r>
      <w:r w:rsidRPr="00451C79">
        <w:rPr>
          <w:color w:val="000000"/>
          <w:sz w:val="28"/>
          <w:szCs w:val="28"/>
        </w:rPr>
        <w:t xml:space="preserve">                                         </w:t>
      </w:r>
    </w:p>
    <w:p w14:paraId="00000002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51C79">
        <w:rPr>
          <w:color w:val="000000"/>
          <w:sz w:val="28"/>
          <w:szCs w:val="28"/>
        </w:rPr>
        <w:t xml:space="preserve">Pusiano, 25 </w:t>
      </w:r>
      <w:proofErr w:type="gramStart"/>
      <w:r w:rsidRPr="00451C79">
        <w:rPr>
          <w:color w:val="000000"/>
          <w:sz w:val="28"/>
          <w:szCs w:val="28"/>
        </w:rPr>
        <w:t>Ottobre</w:t>
      </w:r>
      <w:proofErr w:type="gramEnd"/>
      <w:r w:rsidRPr="00451C79">
        <w:rPr>
          <w:color w:val="000000"/>
          <w:sz w:val="28"/>
          <w:szCs w:val="28"/>
        </w:rPr>
        <w:t xml:space="preserve"> 2021</w:t>
      </w:r>
    </w:p>
    <w:p w14:paraId="00000003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4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05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 w:rsidRPr="00451C79">
        <w:rPr>
          <w:color w:val="000000"/>
          <w:sz w:val="32"/>
          <w:szCs w:val="32"/>
        </w:rPr>
        <w:t>AL COLLEGIO DEI DOCENTI</w:t>
      </w:r>
    </w:p>
    <w:p w14:paraId="00000006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</w:p>
    <w:p w14:paraId="00000007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</w:p>
    <w:p w14:paraId="00000008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 w:rsidRPr="00451C79">
        <w:rPr>
          <w:color w:val="000000"/>
          <w:sz w:val="32"/>
          <w:szCs w:val="32"/>
        </w:rPr>
        <w:t>p.c. AL CONSIGLIO D’ISTITUTO</w:t>
      </w:r>
    </w:p>
    <w:p w14:paraId="00000009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 w:rsidRPr="00451C79">
        <w:rPr>
          <w:color w:val="000000"/>
          <w:sz w:val="32"/>
          <w:szCs w:val="32"/>
        </w:rPr>
        <w:t>AI GENITORI</w:t>
      </w:r>
    </w:p>
    <w:p w14:paraId="0000000A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 w:rsidRPr="00451C79">
        <w:rPr>
          <w:color w:val="000000"/>
          <w:sz w:val="32"/>
          <w:szCs w:val="32"/>
        </w:rPr>
        <w:t>AGLI ALUNNI</w:t>
      </w:r>
    </w:p>
    <w:p w14:paraId="0000000B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 w:rsidRPr="00451C79">
        <w:rPr>
          <w:color w:val="000000"/>
          <w:sz w:val="32"/>
          <w:szCs w:val="32"/>
        </w:rPr>
        <w:t>AL PERSONALE ATA</w:t>
      </w:r>
    </w:p>
    <w:p w14:paraId="0000000C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</w:p>
    <w:p w14:paraId="0000000D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 w:rsidRPr="00451C79">
        <w:rPr>
          <w:b/>
          <w:color w:val="000000"/>
          <w:sz w:val="32"/>
          <w:szCs w:val="32"/>
        </w:rPr>
        <w:t>ATTI</w:t>
      </w:r>
    </w:p>
    <w:p w14:paraId="0000000E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 w:rsidRPr="00451C79">
        <w:rPr>
          <w:b/>
          <w:color w:val="000000"/>
          <w:sz w:val="32"/>
          <w:szCs w:val="32"/>
        </w:rPr>
        <w:t>ALBO</w:t>
      </w:r>
    </w:p>
    <w:p w14:paraId="0000000F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</w:p>
    <w:p w14:paraId="00000010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</w:p>
    <w:p w14:paraId="00000011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  <w:r w:rsidRPr="00451C79">
        <w:rPr>
          <w:rFonts w:ascii="Calibri" w:eastAsia="Calibri" w:hAnsi="Calibri" w:cs="Calibri"/>
          <w:b/>
          <w:color w:val="000000"/>
          <w:sz w:val="32"/>
          <w:szCs w:val="32"/>
        </w:rPr>
        <w:t>OGGETTO: ATTO D’INDIRIZZO DEL DIRIGENTE SCOLASTICO PER LA PREDISPOSIZIONE DEL PIANO TRIENNALE DELL’OFFERTA FORMATIVA EX ART.1, COMMA 14, LEGGE N.107/2015.</w:t>
      </w:r>
    </w:p>
    <w:p w14:paraId="00000012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00000013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451C79">
        <w:rPr>
          <w:rFonts w:ascii="Arial" w:eastAsia="Arial" w:hAnsi="Arial" w:cs="Arial"/>
          <w:color w:val="000000"/>
          <w:sz w:val="28"/>
          <w:szCs w:val="28"/>
        </w:rPr>
        <w:t>IL DIRIGENTE SCOLASTICO</w:t>
      </w:r>
    </w:p>
    <w:p w14:paraId="00000014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0000015" w14:textId="77777777" w:rsidR="004D24DA" w:rsidRPr="00451C79" w:rsidRDefault="009738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VISTA la legge n. 107 del 13.07.2015 (d’ora in poi: </w:t>
      </w:r>
      <w:r w:rsidRPr="00451C79">
        <w:rPr>
          <w:rFonts w:ascii="Arial" w:eastAsia="Arial" w:hAnsi="Arial" w:cs="Arial"/>
          <w:i/>
          <w:color w:val="000000"/>
          <w:sz w:val="24"/>
          <w:szCs w:val="24"/>
        </w:rPr>
        <w:t>Legge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), recante la “</w:t>
      </w:r>
      <w:r w:rsidRPr="00451C79">
        <w:rPr>
          <w:rFonts w:ascii="Arial" w:eastAsia="Arial" w:hAnsi="Arial" w:cs="Arial"/>
          <w:i/>
          <w:color w:val="000000"/>
          <w:sz w:val="24"/>
          <w:szCs w:val="24"/>
        </w:rPr>
        <w:t>Riforma del sistema nazionale di istruzione e formazione e delega per il riordino delle disposizioni legislative vigenti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”;</w:t>
      </w:r>
    </w:p>
    <w:p w14:paraId="00000016" w14:textId="77777777" w:rsidR="004D24DA" w:rsidRPr="00451C79" w:rsidRDefault="009738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PRESO ATTO che l’art.1 della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predetta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legge, ai commi 12-17,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prevede che: </w:t>
      </w:r>
    </w:p>
    <w:p w14:paraId="00000017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1) le istituzioni scolastiche predispongono, entro il mese di ottobre dell'anno scolastico precedente il triennio di riferimento, il Piano triennale dell'offerta formativa (d’ora in poi: </w:t>
      </w:r>
      <w:r w:rsidRPr="00451C79">
        <w:rPr>
          <w:rFonts w:ascii="Arial" w:eastAsia="Arial" w:hAnsi="Arial" w:cs="Arial"/>
          <w:i/>
          <w:color w:val="000000"/>
          <w:sz w:val="24"/>
          <w:szCs w:val="24"/>
        </w:rPr>
        <w:t>Piano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); </w:t>
      </w:r>
    </w:p>
    <w:p w14:paraId="00000019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2) il piano deve essere elaborato dal Collegio dei docenti s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ulla base degli indirizzi per le attività della scuola e delle scelte di gestione e di amministrazione definiti dal dirigente scolastico;</w:t>
      </w:r>
    </w:p>
    <w:p w14:paraId="0000001A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3) il piano è approvato dal Consiglio d’istituto; </w:t>
      </w:r>
    </w:p>
    <w:p w14:paraId="0000001B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4) esso viene sottoposto alla verifica dell’USR per accertarne la c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ompatibilità con i limiti d’organico assegnato e, all’esito della verifica, trasmesso dal medesimo USR al MIUR; </w:t>
      </w:r>
    </w:p>
    <w:p w14:paraId="0000001C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5) una volta espletate le procedure di cui ai precedenti punti, il Piano verrà pubblicato nel portale unico dei dati della scuola;</w:t>
      </w:r>
    </w:p>
    <w:p w14:paraId="0000001D" w14:textId="77777777" w:rsidR="004D24DA" w:rsidRPr="00451C79" w:rsidRDefault="009738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lastRenderedPageBreak/>
        <w:t>TENUTO CONTO delle risorse del territorio, delle proposte degli Enti locali, delle diverse realtà istituzionali, culturali, sociali ed economiche operanti nel territorio, nonché dei Comitati dei genitori;</w:t>
      </w:r>
    </w:p>
    <w:p w14:paraId="0000001E" w14:textId="77777777" w:rsidR="004D24DA" w:rsidRPr="00451C79" w:rsidRDefault="009738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VISTO l’ATTO di INDIRIZZO della scrivente del 27 se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ttembre 2018,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Prot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>. 4604/C23, per la predisposizione del P.O.F. TRIENNALE 2019-2022;</w:t>
      </w:r>
    </w:p>
    <w:p w14:paraId="0000001F" w14:textId="77777777" w:rsidR="004D24DA" w:rsidRPr="00451C79" w:rsidRDefault="009738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VISTO il P.O.F. triennale vigente nell’I.C. Pusiano;</w:t>
      </w:r>
    </w:p>
    <w:p w14:paraId="00000020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EMANA</w:t>
      </w:r>
    </w:p>
    <w:p w14:paraId="00000022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ai sensi dell’art. 3 del DPR 275/99, così come sostituito dall’art. 1 comma 14 della legge 13.7.2015, n. 107, il seguente</w:t>
      </w:r>
    </w:p>
    <w:p w14:paraId="00000024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ATTO D’INDIRIZZO</w:t>
      </w:r>
    </w:p>
    <w:p w14:paraId="00000025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per le attività della scuola e le scelte di gestione e di amministrazione</w:t>
      </w:r>
    </w:p>
    <w:p w14:paraId="00000026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4D24DA" w:rsidRPr="00451C79" w:rsidRDefault="00973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Le priorità, i traguardi e gli obiettivi di processo individuati dal rapporto di autovalutazione (RAV) e il conseguente Piano di miglioramento (P.D.M.) di cui all’art.6, comma 1, del Decreto del Presidente della Repubblica 28.3.2013 n. 80 dovranno costitui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re parte integrante del Piano; </w:t>
      </w:r>
    </w:p>
    <w:p w14:paraId="00000028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4D24DA" w:rsidRPr="00451C79" w:rsidRDefault="00973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La progettazione dell’Istituto dovrà tendere nel breve, medio e lungo termine al raggiungimento delle priorità stabilite nel RAV;</w:t>
      </w:r>
    </w:p>
    <w:p w14:paraId="0000002A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4D24DA" w:rsidRPr="00451C79" w:rsidRDefault="00973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Nel definire le attività della scuola si terrà conto dei livelli di apprendimento così come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evidenziati dai risultati scolastici, dalle rilevazioni INVALSI, dalle competenze chiave e di cittadinanza e dai risultati a distanza così come definiti nel RAV.</w:t>
      </w:r>
    </w:p>
    <w:p w14:paraId="0000002C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Per il raggiungimento di tali priorità e dei traguardi previsti nel RAV, dovrà essere costantemente aggiornato il PDM (Piano Di Miglioramento) che, muovendo da essi, definisca le attività e gli interventi da realizzare. Il PDM dovrà sempre essere definito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collegialmente e integrato nel piano dell’Offerta Formativa triennale.</w:t>
      </w:r>
    </w:p>
    <w:p w14:paraId="0000002D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4D24DA" w:rsidRPr="00451C79" w:rsidRDefault="00973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451C79">
        <w:rPr>
          <w:rFonts w:ascii="Arial" w:eastAsia="Arial" w:hAnsi="Arial" w:cs="Arial"/>
          <w:color w:val="000000"/>
          <w:sz w:val="24"/>
          <w:szCs w:val="24"/>
        </w:rPr>
        <w:t>Nella stesura del P.O.F. si terrà conto della collaborazione, dei pareri formulati dagli Enti locali e dalle diverse realtà istituzionali, culturali, sociali ed economiche operanti nel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territorio, nonché dell’apporto fornito dai Comitati dei genitori che afferiscono alla nostra scuola. Si porrà particolare attenzione alla presenza di quattro diverse Amministrazioni comunali e di quattro realtà che, per quanto simili a livello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socio-econ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omico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>, sono portatrici tutte e ciascuna di tradizioni, storie e attese anche differenti.</w:t>
      </w:r>
    </w:p>
    <w:p w14:paraId="0000002F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30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451C79">
        <w:rPr>
          <w:rFonts w:ascii="Arial" w:eastAsia="Arial" w:hAnsi="Arial" w:cs="Arial"/>
          <w:b/>
          <w:color w:val="000000"/>
          <w:sz w:val="28"/>
          <w:szCs w:val="28"/>
        </w:rPr>
        <w:t xml:space="preserve">L’organizzazione del Piano Triennale dell’Offerta Formativa </w:t>
      </w:r>
    </w:p>
    <w:p w14:paraId="00000031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30j0zll" w:colFirst="0" w:colLast="0"/>
      <w:bookmarkEnd w:id="1"/>
      <w:r w:rsidRPr="00451C79">
        <w:rPr>
          <w:rFonts w:ascii="Arial" w:eastAsia="Arial" w:hAnsi="Arial" w:cs="Arial"/>
          <w:color w:val="000000"/>
          <w:sz w:val="24"/>
          <w:szCs w:val="24"/>
        </w:rPr>
        <w:t>Il Piano dovrà fare particolare riferimento ai seguenti punti della Legge:</w:t>
      </w:r>
    </w:p>
    <w:p w14:paraId="00000033" w14:textId="77777777" w:rsidR="004D24DA" w:rsidRPr="00451C79" w:rsidRDefault="0097385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Finalità della legge e compiti della scuola (commi 1-4)</w:t>
      </w:r>
    </w:p>
    <w:p w14:paraId="00000034" w14:textId="77777777" w:rsidR="004D24DA" w:rsidRPr="00451C79" w:rsidRDefault="004D24DA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5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Nell’elaborazione del Piano, il Collegio Docenti terrà conto:</w:t>
      </w:r>
    </w:p>
    <w:p w14:paraId="00000036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7" w14:textId="77777777" w:rsidR="004D24DA" w:rsidRPr="00451C79" w:rsidRDefault="009738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della centralità del ruolo della scuola nella società della conoscenza;</w:t>
      </w:r>
    </w:p>
    <w:p w14:paraId="00000038" w14:textId="77777777" w:rsidR="004D24DA" w:rsidRPr="00451C79" w:rsidRDefault="009738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del mandato istituzionale esclusivo ad essa affidato per la formazione e l’istruzione dei cittadini;</w:t>
      </w:r>
    </w:p>
    <w:p w14:paraId="00000039" w14:textId="77777777" w:rsidR="004D24DA" w:rsidRPr="00451C79" w:rsidRDefault="009738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del compito di innalzare i livelli di istruzione e le competenze degli studenti, rispettandone disuguaglianze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socio-culturali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e territoriali in ingresso, tempi, stili di apprendimento e potenzialità individuali;</w:t>
      </w:r>
    </w:p>
    <w:p w14:paraId="0000003A" w14:textId="77777777" w:rsidR="004D24DA" w:rsidRPr="00451C79" w:rsidRDefault="009738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del dovere, come scuola dell’obbligo, di pre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venire e contrastare il fenomeno dell’insuccesso e dell’abbandono scolastico, garantendo a tutti, nessuno escluso, le pari opportunità di successo formativo e di istruzione permanente;</w:t>
      </w:r>
    </w:p>
    <w:p w14:paraId="0000003B" w14:textId="77777777" w:rsidR="004D24DA" w:rsidRPr="00451C79" w:rsidRDefault="009738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della necessità di potenziare tutte le esperienze e le attività di cont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inuità e di orientamento in maniera verticale affinché gli alunni non solo possano scegliere insieme alle famiglie consapevolmente il percorso scolastico successivo, ma anche scoprire al meglio le proprie potenzialità e i propri limiti per costruire un pro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prio progetto di vita.</w:t>
      </w:r>
    </w:p>
    <w:p w14:paraId="0000003C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2" w:name="_1fob9te" w:colFirst="0" w:colLast="0"/>
      <w:bookmarkEnd w:id="2"/>
    </w:p>
    <w:p w14:paraId="0000003D" w14:textId="77777777" w:rsidR="004D24DA" w:rsidRPr="00451C79" w:rsidRDefault="0097385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Aree di intervento, organizzazione e processi (comma 2):</w:t>
      </w:r>
    </w:p>
    <w:p w14:paraId="0000003E" w14:textId="77777777" w:rsidR="004D24DA" w:rsidRPr="00451C79" w:rsidRDefault="004D24DA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F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Per il raggiungimento delle finalità previste dalla Legge, il conseguimento delle priorità previste nel RAV e degli obiettivi di processo descritti nel P.D.M., l’organizzazione generale della scuola dovrà prevedere anche nel triennio 2022-2025 una suddivis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ione in Aree di intervento con lo scopo di razionalizzare e migliorare i processi interni e gli esiti degli alunni, utilizzare al massimo le risorse della scuola e stabilizzare e migliorare il raccordo della scuola con tutte le realtà esterne e le famiglie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40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Per ogni Area dovrà continuare ad operare una Commissione o un gruppo di lavoro coordinato da una FS o da un Referente, che avranno la responsabilità di definire il progetto dell’area, individuando obiettivi, indicatori, esiti, livelli di accettabilità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, e la responsabilità di garantire la realizzazione completa del progetto nei tempi e nei modi stabiliti. </w:t>
      </w:r>
    </w:p>
    <w:p w14:paraId="00000042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3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L’insieme di tutti i progetti costituirà un </w:t>
      </w: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unico progetto di scuola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che farà parte integrante del POF. L’unicità progettuale dovrà essere garantita dalle sinergie tra Commissioni e gruppi delle singole aree (incontri, scambio di risorse professionali, progettazione comune, realizzazione di attività con obiettivi specifici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condivisi,…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). </w:t>
      </w:r>
    </w:p>
    <w:p w14:paraId="00000044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Ai sensi del D.M. n. 89/2020 con cui sono state adottate le Linee guida per la Didattica Digitale Integrata (DDI), si inserirà nel PTOF una progettazione alternativa a quella già prevista in presenza, da attuare qualora emergessero necessit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à di contenimento del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contagio nonché in caso di nuovo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lockdown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>. Il Collegio dei docenti, in riferimento alla progettazione e alla valutazione, declinerà obiettivi, metodologie e strumenti per ciascun ambito disciplinare, fermo restando un obbligo minimo d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i ore da garantire a distanza. La progettazione della didattica in modalità digitale dovrà tenere conto del contesto e assicurare la sostenibilità delle attività proposte, garantendo un generale livello di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inclusività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>, con particolare attenzione agli “alun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ni fragili”. Si inserirà nel P.O.F. la progettualità d’Istituto relativa all’Istruzione domiciliare, così come già deliberata dagli Organi collegiali e la progettualità per le attività alternative all’I.R.C.</w:t>
      </w:r>
    </w:p>
    <w:p w14:paraId="00000045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6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Le Aree di intervento sono le seguenti:</w:t>
      </w:r>
    </w:p>
    <w:p w14:paraId="00000047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8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Inclusione e promozione del successo scolastico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. La Funzione strumentale progetterà il Piano per l’Inclusione della scuola, con attenzione a tutte le forme di disagio presenti; si occuperà anche di mantenere i contatti scuola-famiglie-territorio, al fine d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i incentivare una stretta sinergia tra gli attori in campo. Affiancherà il Dirigente scolastico nei lavori del GLI d’Istituto e coordinerà i lavori della Commissione Inclusione e promozione del successo scolastico.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Coordinerà i docenti per il sostegno nell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’organizzazione dei GLO. Collaborerà inoltre con il referente DSA e BES d’Istituto per la gestione di tutte le situazioni meritevoli di attenzione, in relazione ai differenti bisogni educativi speciali degli alunni. Il P.O.F. del triennio 2022-2025 conterr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à quanto previsto dal Decreto 66/2017 e successivi interventi normativi.</w:t>
      </w:r>
    </w:p>
    <w:p w14:paraId="00000049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A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 xml:space="preserve">Innovazione tecnologica e sito web.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La FS realizzerà un progetto per il miglioramento della comunicazione interna e della scuola con l’esterno. Si occuperà di curare costantemente l’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aggiornamento del sito. Sarà di supporto ai docenti dell’Istituto per le problematiche connesse alle tecnologie. Con la Commissione elaborerà un piano di lavoro che preveda interventi di innovazione tecnologica e didattica.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Coordinerà il lavoro dei referen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ti informatici dei plessi, in particolare per le modalità di utilizzo e di conservazione delle strumentazioni della scuola. Collaborerà sinergicamente con l’Animatore digitale, anche per la predisposizione di momenti di formazione per genitori, docenti, pe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rsonale ATA e alunni. Collaborerà con la D.S.G.A. dell’Istituto per la gestione dell’attività dell’assistente tecnico, assegnato alla scuola in Rete con altre Istituzioni scolastiche, e per l’organizzazione degli interventi dei tecnici esterni. </w:t>
      </w:r>
    </w:p>
    <w:p w14:paraId="0000004B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C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Accoglien</w:t>
      </w: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za, continuità e orientamento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. La Funzione strumentale progetterà attività permanenti di raccordo tra scuola dell’infanzia e primaria, tra primaria e secondaria di primo grado e tra quest’ultima e la secondaria di II grado. I lavori, svolti con l’aiuto del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la Commissione, dovranno essere programmati in stretto accordo con i docenti dei diversi ordini di scuola. La FS si occuperà anche dell’organizzazione delle attività di open-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day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e di conoscenza delle scuole superiori del territorio e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non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Collaborerà con i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l Dirigente scolastico per la gestione delle attività di iscrizione dei nuovi alunni e coordinerà le attività del gruppo di lavoro per la formazione delle classi.</w:t>
      </w:r>
    </w:p>
    <w:p w14:paraId="0000004D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E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Attuazione e monitoraggio del P.O.F.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Considerate le novità normative relative all’introduzio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ne obbligatoria nel curricolo di scuola dell’Educazione civica come disciplina a sé stante, preso atto del superamento della necessità di dedicare un’area specifica alla disciplina stessa, la Commissione P.O.F. ingloberà al suo interno i componenti della p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recedente Commissione di Cittadinanza e Costituzione, al fine di gestire tutte le numerose attività rientranti a pieno titolo nella sfera del Piano dell’Offerta Formativa.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La Funzione strumentale con la Commissione di riferimento, coadiuvata dal Nucleo di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autovalutazione e dallo Staff, dovrà garantire l’elaborazione del POF triennale e la revisione di quello annuale. Si occuperà del coordinamento dei gruppi di lavoro per l’elaborazione e il continuo aggiornamento del curricolo d’Istituto.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Inoltre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collaborer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à con la FS valutazione per i lavori del Nucleo. </w:t>
      </w:r>
    </w:p>
    <w:p w14:paraId="0000004F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0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 xml:space="preserve">Valutazione.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La Funzione strumentale coordinerà la Commissione per la continua revisione dei criteri di valutazione in un’ottica verticale e trasversale, alla luce delle Indicazioni nazionali, del decreto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62/2017 e delle ultime novità normative.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Lavorerà in sinergia con la F.S. del P.O.F. per la stesura delle modalità valutative, in armonia con il Curricolo di scuola. Coordinerà i lavori del Nucleo di autovalutazione di Istituto per l’aggiornamento del Pian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o di miglioramento, del RAV e della Rendicontazione sociale. Si occuperà anche dell’autovalutazione d’Istituto.</w:t>
      </w:r>
    </w:p>
    <w:p w14:paraId="00000051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2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Formazione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. Il referente di ambito dovrà elaborare e curare la realizzazione del Piano di formazione dei docenti e del personale ATA, rilevando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bisogni e progettando attività di formazione e di aggiornamento in servizio, a breve e a lungo termine.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Lavorerà in stretto contatto con tutte le Commissioni, i gruppi, il D.S.G.A. (per la parte degli ATA) e il Dirigente scolastico, stante il carattere di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trasversalità della formazione. Collaborerà con i vari referenti per l’organizzazione delle diverse iniziative formative.</w:t>
      </w:r>
    </w:p>
    <w:p w14:paraId="00000053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4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 xml:space="preserve">BES-DSA.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Il referente si occuperà delle problematiche relative alla gestione degli alunni con DSA e con BES.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In stretta sinergia con la Funzione strumentale per l’Inclusione si prenderà carico di tutte quelle situazione di disagio non ancora certificate o definite,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ma che necessitano di attenzione e cura. Si occuperà di tutta la casistica specifica rientrante nell’area BES (alunni adottati, stranieri, in istruzione domiciliare,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ospedalizzati,…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>).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Opererà per la rilevazione precoce dei disturbi specifici dell’apprendi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mento, per il monitoraggio dei bisogni educativi speciali presenti nell’Istituto e per l’implementazione di nuove strategie didattico-metodologiche. </w:t>
      </w:r>
    </w:p>
    <w:p w14:paraId="00000055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6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Attività sportive.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Il referente, in collaborazione con la Commissione, dovrà coordinare tutte le attività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dell’area, curando in modo particolare i rapporti con le realtà sportive del territorio. Progetterà iniziative per i diversi ordini di scuola nell’ottica della continuità della storia dell’Istituto.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Si occuperà della sezione ad indirizzo sportivo della Se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condaria di Pusiano, del Centro Sportivo Scolastico e di tutte le attività di continuità in ambito motorio svolte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nelle scuola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primaria.</w:t>
      </w:r>
    </w:p>
    <w:p w14:paraId="00000057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8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Lingue straniere.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Il referente si occuperà di tutti i progetti di Istituto relativi alle lingue inglese e spagnolo.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Coordinerà le sezioni ad inglese potenziato; curerà l’organizzazione delle attività di madrelingua nei due ordini di scuola e dei progetti extrascolastici relativi al conseguimento della certificazione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Ket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>; si impegnerà a diffondere la cultura dell’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eTwinni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ng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tra i colleghi.</w:t>
      </w:r>
    </w:p>
    <w:p w14:paraId="00000059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A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 xml:space="preserve">Bullismo e </w:t>
      </w:r>
      <w:proofErr w:type="spellStart"/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cyberbullismo</w:t>
      </w:r>
      <w:proofErr w:type="spellEnd"/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Il referente, formato in base alle normative in materia, si occuperà di diffondere nell’Istituto la cultura della prevenzione, dell’individuazione e del contrasto ai fenomeni di bullismo.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Predisporrà, in accord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o con il Referente Formazione, momenti di incontro per l’autoformazione e/o per la formazione del personale, degli alunni, dei genitori. Si occuperà di creare con il Dirigente scolastico il Team per le Emergenze e di predisporre tutta la documentazione di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Istituto.</w:t>
      </w:r>
    </w:p>
    <w:p w14:paraId="0000005B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C" w14:textId="77777777" w:rsidR="004D24DA" w:rsidRPr="00451C79" w:rsidRDefault="009738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 xml:space="preserve">Animatore digitale.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Il referente, in base a quanto previsto dalla normativa vigente, in particolare il PNSD, si occuperà di prevedere momenti di formazione per il personale, per gli alunni e per i genitori. Lavorerà in stretta sinergia con la Fu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nzione Strumentale per l’Innovazione per rispondere alle esigenze dei colleghi e dell’utenza e per implementare le funzionalità legate agli strumenti digitali a disposizione.</w:t>
      </w:r>
    </w:p>
    <w:p w14:paraId="0000005D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E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I Progetti delle Aree dovranno sempre prevedere il raggiungimento di </w:t>
      </w: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obiettivi di prodotto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, con la ricaduta diretta sul miglioramento degli esiti scolastici degli alunni e il loro successo scolastico e soprattutto formativo, e </w:t>
      </w: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 xml:space="preserve">obiettivi di processo,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con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la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 ridefinizione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delle figure e dei gruppi di sistema (es. dipartimenti, coordinatori dei Consigli di Classe/Interclasse,…).</w:t>
      </w:r>
    </w:p>
    <w:p w14:paraId="0000005F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0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Sul piano dell’organizzazione, inoltre, dovranno essere previste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la seguenti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figure istituzionali:</w:t>
      </w:r>
    </w:p>
    <w:p w14:paraId="00000061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2" w14:textId="77777777" w:rsidR="004D24DA" w:rsidRPr="00451C79" w:rsidRDefault="009738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I due collaboratori del Dirigen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te;</w:t>
      </w:r>
    </w:p>
    <w:p w14:paraId="00000063" w14:textId="77777777" w:rsidR="004D24DA" w:rsidRPr="00451C79" w:rsidRDefault="009738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I responsabili di plesso delle scuole primarie e delle scuole secondarie di primo grado;</w:t>
      </w:r>
    </w:p>
    <w:p w14:paraId="00000064" w14:textId="77777777" w:rsidR="004D24DA" w:rsidRPr="00451C79" w:rsidRDefault="009738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I coordinatori di classe per la scuola Secondaria; </w:t>
      </w:r>
    </w:p>
    <w:p w14:paraId="00000065" w14:textId="77777777" w:rsidR="004D24DA" w:rsidRPr="00451C79" w:rsidRDefault="009738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I docenti prevalenti per la scuola Primaria;</w:t>
      </w:r>
    </w:p>
    <w:p w14:paraId="00000066" w14:textId="77777777" w:rsidR="004D24DA" w:rsidRPr="00451C79" w:rsidRDefault="009738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I referenti disciplinari della Scuola Secondaria;</w:t>
      </w:r>
    </w:p>
    <w:p w14:paraId="00000067" w14:textId="77777777" w:rsidR="004D24DA" w:rsidRPr="00451C79" w:rsidRDefault="009738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I referenti dei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dipartimenti in verticale;</w:t>
      </w:r>
    </w:p>
    <w:p w14:paraId="00000068" w14:textId="77777777" w:rsidR="004D24DA" w:rsidRPr="00451C79" w:rsidRDefault="009738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I responsabili informatici dei plessi;</w:t>
      </w:r>
    </w:p>
    <w:p w14:paraId="00000069" w14:textId="77777777" w:rsidR="004D24DA" w:rsidRPr="00451C79" w:rsidRDefault="009738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I responsabili dei laboratori dei plessi.</w:t>
      </w:r>
    </w:p>
    <w:p w14:paraId="0000006A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B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Dovranno continuare ad operare le figure di sistema legate alla sicurezza, secondo quanto previsto dalla normativa vigente. Per ogni plesso le stesse saranno coordinate dagli A.S.P.P., a loro volta in stretto raccordo con il R.S.P.P. e il Dirigente scolast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ico.</w:t>
      </w:r>
    </w:p>
    <w:p w14:paraId="0000006C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3" w:name="_3znysh7" w:colFirst="0" w:colLast="0"/>
      <w:bookmarkEnd w:id="3"/>
    </w:p>
    <w:p w14:paraId="0000006D" w14:textId="77777777" w:rsidR="004D24DA" w:rsidRPr="00451C79" w:rsidRDefault="0097385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Fabbisogno di attrezzature e infrastrutture materiali, fabbisogno dell’organico dell’autonomia, potenziamento dell’offerta e obiettivi formativi prioritari (commi 5-7 e 14)</w:t>
      </w:r>
    </w:p>
    <w:p w14:paraId="0000006E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F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c.1. Le priorità descritte nel RAV e gli obiettivi di processo contenuti nel P.D.M. dovranno essere conseguiti attraverso il raggiungimento di una serie di obiettivi di progetto di cui si faranno carico le singole Aree.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In particolare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sarà necessario preve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dere di:</w:t>
      </w:r>
    </w:p>
    <w:p w14:paraId="00000070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1" w14:textId="77777777" w:rsidR="004D24DA" w:rsidRPr="00451C79" w:rsidRDefault="009738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Verificare ed eventualmente ridefinire la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mission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e le priorità della scuola;</w:t>
      </w:r>
    </w:p>
    <w:p w14:paraId="00000072" w14:textId="77777777" w:rsidR="004D24DA" w:rsidRPr="00451C79" w:rsidRDefault="009738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monitorare il raggiungimento dei traguardi;</w:t>
      </w:r>
    </w:p>
    <w:p w14:paraId="00000073" w14:textId="77777777" w:rsidR="004D24DA" w:rsidRPr="00451C79" w:rsidRDefault="009738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attuare tutte le attività previste per il perseguimento degli obiettivi di processo;</w:t>
      </w:r>
    </w:p>
    <w:p w14:paraId="00000074" w14:textId="77777777" w:rsidR="004D24DA" w:rsidRPr="00451C79" w:rsidRDefault="009738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riscrivere il curricolo d’Istituto;</w:t>
      </w:r>
    </w:p>
    <w:p w14:paraId="00000075" w14:textId="77777777" w:rsidR="004D24DA" w:rsidRPr="00451C79" w:rsidRDefault="009738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prevedere attività in verticale e trasversali;</w:t>
      </w:r>
    </w:p>
    <w:p w14:paraId="00000076" w14:textId="77777777" w:rsidR="004D24DA" w:rsidRPr="00451C79" w:rsidRDefault="009738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progettare attività curriculari ed extracurriculari coerenti con i bisogni reali degli alunni,</w:t>
      </w:r>
    </w:p>
    <w:p w14:paraId="00000077" w14:textId="77777777" w:rsidR="004D24DA" w:rsidRPr="00451C79" w:rsidRDefault="009738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realizzare un piano di formazione per i docenti e il personale ATA;</w:t>
      </w:r>
    </w:p>
    <w:p w14:paraId="00000078" w14:textId="77777777" w:rsidR="004D24DA" w:rsidRPr="00451C79" w:rsidRDefault="009738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progettare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un piano di autovalutazione che coinvolga tutti i docenti, le famiglie e gli alunni e, per quanto possibile, anche realtà esterne alla scuola;</w:t>
      </w:r>
    </w:p>
    <w:p w14:paraId="00000079" w14:textId="77777777" w:rsidR="004D24DA" w:rsidRPr="00451C79" w:rsidRDefault="009738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rendere stabili e implementare i rapporti con le associazioni e gli enti presenti sul territorio.</w:t>
      </w:r>
    </w:p>
    <w:p w14:paraId="0000007A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B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c.2 Il conseg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uimento di molti di tali obiettivi dipenderà anche dal proseguimento dell’implementazione di strutture, di attrezzature, di sussidi e dal loro continuo aggiornamento, a partire dalla situazione esistente. </w:t>
      </w:r>
      <w:proofErr w:type="gramStart"/>
      <w:r w:rsidRPr="00451C79">
        <w:rPr>
          <w:rFonts w:ascii="Arial" w:eastAsia="Arial" w:hAnsi="Arial" w:cs="Arial"/>
          <w:color w:val="000000"/>
          <w:sz w:val="24"/>
          <w:szCs w:val="24"/>
        </w:rPr>
        <w:t>In particolare</w:t>
      </w:r>
      <w:proofErr w:type="gram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negli ultimi due anni, caratterizzat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i dall’emergenza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Covid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e dalla necessità di adottare la Didattica a distanza prima e la Didattica Digitale Integrata poi, sono state acquistate numerose strumentazioni, garantendo la presenza della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Lim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in ogni classe di scuola primaria e secondaria e numer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osi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device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per le attività laboratoriali.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7C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D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Nel POF triennale 2022-2025 si dovrà tenere conto dell’ormai consolidata esistenza dell’Organico dell’autonomia, comprendente tutti i docenti, sia quelli utilizzati per attività didattica frontale, sia quelli uti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lizzati per attività di potenziamento. Bisognerà altresì porre attenzione al fatto che lo stesso docente, a seconda delle necessità, potrà svolgere entrambe le mansioni. Inoltre, all’interno dell’organico assegnato, potranno essere utilizzate delle unità o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rarie per attività di organizzazione della scuola.</w:t>
      </w:r>
    </w:p>
    <w:p w14:paraId="0000007E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F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Per la realizzazione di tutte le attività progettuali, per la scuola primaria negli ultimi anni sono state assegnate due unità di personale come organico di potenziamento; per la scuola secondaria viene sempre confermato un docente della classe di concorso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di Educazione fisica.</w:t>
      </w:r>
    </w:p>
    <w:p w14:paraId="00000080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Per l’organico per il sostegno negli ultimi anni, dietro richiesta all’Ambito territoriale, in organico di fatto e anche oltre i termini, al nostro Istituto sono state riconosciute figure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lastRenderedPageBreak/>
        <w:t>aggiuntive, necessarie per la copertura degli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alunni, a seguito di adeguamento delle certificazioni, per nuovi iscritti e/o trasferiti.</w:t>
      </w:r>
    </w:p>
    <w:p w14:paraId="00000081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Durante l’anno scolastico in corso e in quello precedente, a tutte le scuole è stato riconosciuto il cosiddetto “organico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Covid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>”.</w:t>
      </w:r>
    </w:p>
    <w:p w14:paraId="00000082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3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Per ciò che riguarda i posti del p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ersonale amministrativo, tecnico e ausiliario l’organico di diritto è così definito:</w:t>
      </w:r>
    </w:p>
    <w:p w14:paraId="00000084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5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D.G.S.A.: 1 posto</w:t>
      </w:r>
    </w:p>
    <w:p w14:paraId="00000086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Personale Assistente Amministrativo: n. 4 posti;</w:t>
      </w:r>
    </w:p>
    <w:p w14:paraId="00000087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Personale Collaboratore scolastico: n. 12 posti</w:t>
      </w:r>
    </w:p>
    <w:p w14:paraId="00000088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9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Dietro richiesta all’Ambito territoriale, negli ultimi due anni è stata riconosciuta alla scuola un’altra unità di personale in organico di fatto, nel ruolo di collaboratore scolastico, a fronte comunque di richieste maggiori. </w:t>
      </w:r>
    </w:p>
    <w:p w14:paraId="0000008A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Durante l’anno scolastico in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corso e in quello precedente, a tutte le scuole è stato riconosciuto il cosiddetto “organico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Covid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>”.</w:t>
      </w:r>
    </w:p>
    <w:p w14:paraId="0000008B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4" w:name="_2et92p0" w:colFirst="0" w:colLast="0"/>
      <w:bookmarkEnd w:id="4"/>
    </w:p>
    <w:p w14:paraId="0000008C" w14:textId="77777777" w:rsidR="004D24DA" w:rsidRPr="00451C79" w:rsidRDefault="0097385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Le famiglie e le risorse del territorio</w:t>
      </w:r>
    </w:p>
    <w:p w14:paraId="0000008D" w14:textId="77777777" w:rsidR="004D24DA" w:rsidRPr="00451C79" w:rsidRDefault="004D24D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8E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Il Piano dovrà ribadire la centralità del coinvolgimento e della partecipazione al progetto educativo delle famiglie. Nel rispetto dei rispettivi ruoli ma tenendo sempre presente la corresponsabilità educativa, andrà garantita chiarezza nella comunicazione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, con particolare riguardo alla progettazione, alla valutazione, alla collaborazione nel percorso educativo e dovrà essere favorita la partecipazione a tutte iniziative della scuola.</w:t>
      </w:r>
    </w:p>
    <w:p w14:paraId="0000008F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Nel Piano si opererà per l'Integrazione dell’offerta territoriale con que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lla dell’Istituto con apertura e assorbimento nel POF delle risorse e delle opportunità offerte dal territorio, purché coerenti con le scelte educative della scuola e, reciprocamente, con apertura al territorio delle proposte educative e ricreative offerte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dalla scuola. Grande attenzione andrà data alla relazione tra scuole, al lavoro di rete, al confronto e alla collaborazione.</w:t>
      </w:r>
    </w:p>
    <w:p w14:paraId="00000090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5" w:name="_tyjcwt" w:colFirst="0" w:colLast="0"/>
      <w:bookmarkEnd w:id="5"/>
    </w:p>
    <w:p w14:paraId="00000091" w14:textId="77777777" w:rsidR="004D24DA" w:rsidRPr="00451C79" w:rsidRDefault="0097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Piano di formazione e aggiornamento (commi 10-12-124)</w:t>
      </w:r>
    </w:p>
    <w:p w14:paraId="00000092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3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Nel POF dovrà essere predisposto il Piano di Formazione dei docenti e del 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personale ATA.</w:t>
      </w:r>
    </w:p>
    <w:p w14:paraId="00000094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5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La formazione per il personale docente dovrà riguardare prioritariamente la costruzione del curricolo, la didattica per competenze e la valutazione autentica. Attività formative nell’arco del triennio dovranno riguardare poi l’innovazione e l’uso della mul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timedialità sia nella didattica, sia per l’utenza e dovranno essere promossi corsi specifici su tematiche scelte dai docenti e rispondenti ai bisogni formativi.</w:t>
      </w:r>
    </w:p>
    <w:p w14:paraId="00000096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Si dovranno inoltre prevedere formazione e aggiornamenti continui per l’inclusione e per la pre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venzione del bullismo e del </w:t>
      </w:r>
      <w:proofErr w:type="spellStart"/>
      <w:r w:rsidRPr="00451C79">
        <w:rPr>
          <w:rFonts w:ascii="Arial" w:eastAsia="Arial" w:hAnsi="Arial" w:cs="Arial"/>
          <w:color w:val="000000"/>
          <w:sz w:val="24"/>
          <w:szCs w:val="24"/>
        </w:rPr>
        <w:t>cyberbullismo</w:t>
      </w:r>
      <w:proofErr w:type="spellEnd"/>
      <w:r w:rsidRPr="00451C7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97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lastRenderedPageBreak/>
        <w:t>Per il personale ATA dovranno essere previsti corsi di formazione su tematiche di amministrazione e di gestione per gli assistenti amministrativi, e di relazione con gli alunni per i collaboratori scolastici.</w:t>
      </w:r>
    </w:p>
    <w:p w14:paraId="00000098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9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Per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tutto il personale dovrà essere prevista una costante attività di formazione per la sicurezza e per la privacy.</w:t>
      </w:r>
    </w:p>
    <w:p w14:paraId="0000009A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Andranno sempre previsti, in quanto obbligatori, tutti i corsi relativi alla sicurezza, sia per i docenti, sia per gli ATA.</w:t>
      </w:r>
    </w:p>
    <w:p w14:paraId="0000009B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6" w:name="_3dy6vkm" w:colFirst="0" w:colLast="0"/>
      <w:bookmarkEnd w:id="6"/>
    </w:p>
    <w:p w14:paraId="0000009C" w14:textId="77777777" w:rsidR="004D24DA" w:rsidRPr="00451C79" w:rsidRDefault="0097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Predisposizione de</w:t>
      </w:r>
      <w:r w:rsidRPr="00451C79">
        <w:rPr>
          <w:rFonts w:ascii="Arial" w:eastAsia="Arial" w:hAnsi="Arial" w:cs="Arial"/>
          <w:b/>
          <w:color w:val="000000"/>
          <w:sz w:val="24"/>
          <w:szCs w:val="24"/>
        </w:rPr>
        <w:t>l POFT</w:t>
      </w:r>
    </w:p>
    <w:p w14:paraId="0000009D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E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Il Piano dovrà essere predisposto a cura delle Funzione Strumentale POF con relativa Commissione, dello Staff e del Nucleo di autovalutazione; sono richieste comunque a tutto il Collegio la partecipazione e la collaborazione fattiva. </w:t>
      </w:r>
    </w:p>
    <w:p w14:paraId="0000009F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A0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Il POF 2022-</w:t>
      </w:r>
      <w:r w:rsidRPr="00451C79">
        <w:rPr>
          <w:rFonts w:ascii="Arial" w:eastAsia="Arial" w:hAnsi="Arial" w:cs="Arial"/>
          <w:color w:val="000000"/>
          <w:sz w:val="24"/>
          <w:szCs w:val="24"/>
        </w:rPr>
        <w:t>2025 dovrà essere approvato dal Collegio dei Docenti e dal Consiglio d’Istituto entro la scadenza prevista dalla normativa, ovvero prima dell’avvio delle iscrizioni per l’anno scolastico 2022-2023.</w:t>
      </w:r>
    </w:p>
    <w:p w14:paraId="000000A1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A2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A3" w14:textId="77777777" w:rsidR="004D24DA" w:rsidRPr="00451C79" w:rsidRDefault="004D24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A4" w14:textId="77777777" w:rsidR="004D24DA" w:rsidRPr="00451C79" w:rsidRDefault="00973855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>Il Dirigente scolastico</w:t>
      </w:r>
    </w:p>
    <w:p w14:paraId="000000A5" w14:textId="77777777" w:rsidR="004D24DA" w:rsidRDefault="00973855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51C79">
        <w:rPr>
          <w:rFonts w:ascii="Arial" w:eastAsia="Arial" w:hAnsi="Arial" w:cs="Arial"/>
          <w:color w:val="000000"/>
          <w:sz w:val="24"/>
          <w:szCs w:val="24"/>
        </w:rPr>
        <w:t xml:space="preserve"> Eleonora Maria Farina</w:t>
      </w:r>
    </w:p>
    <w:p w14:paraId="000000A6" w14:textId="77777777" w:rsidR="004D24DA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A7" w14:textId="77777777" w:rsidR="004D24DA" w:rsidRDefault="004D2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A8" w14:textId="77777777" w:rsidR="004D24DA" w:rsidRDefault="004D24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A9" w14:textId="77777777" w:rsidR="004D24DA" w:rsidRDefault="004D24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D24DA">
      <w:headerReference w:type="default" r:id="rId7"/>
      <w:footerReference w:type="default" r:id="rId8"/>
      <w:pgSz w:w="11906" w:h="16838"/>
      <w:pgMar w:top="54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D3AD" w14:textId="77777777" w:rsidR="00973855" w:rsidRDefault="00973855">
      <w:r>
        <w:separator/>
      </w:r>
    </w:p>
  </w:endnote>
  <w:endnote w:type="continuationSeparator" w:id="0">
    <w:p w14:paraId="65AC77AB" w14:textId="77777777" w:rsidR="00973855" w:rsidRDefault="0097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1" w14:textId="13D11133" w:rsidR="004D24DA" w:rsidRDefault="009738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51C79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B2" w14:textId="77777777" w:rsidR="004D24DA" w:rsidRDefault="004D24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192C" w14:textId="77777777" w:rsidR="00973855" w:rsidRDefault="00973855">
      <w:r>
        <w:separator/>
      </w:r>
    </w:p>
  </w:footnote>
  <w:footnote w:type="continuationSeparator" w:id="0">
    <w:p w14:paraId="59F549D5" w14:textId="77777777" w:rsidR="00973855" w:rsidRDefault="0097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A" w14:textId="77777777" w:rsidR="004D24DA" w:rsidRDefault="009738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252"/>
        <w:tab w:val="left" w:pos="5540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10565" cy="6737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565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AB" w14:textId="77777777" w:rsidR="004D24DA" w:rsidRDefault="009738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 xml:space="preserve">Istituto Comprensivo “A. </w:t>
    </w:r>
    <w:proofErr w:type="spellStart"/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Rosmini</w:t>
    </w:r>
    <w:proofErr w:type="spellEnd"/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”</w:t>
    </w:r>
  </w:p>
  <w:p w14:paraId="000000AC" w14:textId="77777777" w:rsidR="004D24DA" w:rsidRDefault="009738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Scuola Primaria e Secondaria di I Grado</w:t>
    </w:r>
  </w:p>
  <w:p w14:paraId="000000AD" w14:textId="77777777" w:rsidR="004D24DA" w:rsidRDefault="009738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Via Mazzini, 39 - 22030 Pusiano (</w:t>
    </w:r>
    <w:proofErr w:type="gramStart"/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 xml:space="preserve">CO)   </w:t>
    </w:r>
    <w:proofErr w:type="gramEnd"/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Tel. 031/655944 - 031/658729 - Fax 031/657136</w:t>
    </w:r>
  </w:p>
  <w:p w14:paraId="000000AE" w14:textId="77777777" w:rsidR="004D24DA" w:rsidRDefault="009738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 xml:space="preserve">E-mail: </w:t>
    </w:r>
    <w:hyperlink r:id="rId2">
      <w:r>
        <w:rPr>
          <w:rFonts w:ascii="Palatino Linotype" w:eastAsia="Palatino Linotype" w:hAnsi="Palatino Linotype" w:cs="Palatino Linotype"/>
          <w:b/>
          <w:i/>
          <w:color w:val="0000FF"/>
          <w:sz w:val="22"/>
          <w:szCs w:val="22"/>
          <w:u w:val="single"/>
        </w:rPr>
        <w:t>COIC802007@istruzione.it</w:t>
      </w:r>
    </w:hyperlink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 xml:space="preserve">      web: www.icrosminipusiano.edu.it</w:t>
    </w:r>
  </w:p>
  <w:p w14:paraId="000000AF" w14:textId="77777777" w:rsidR="004D24DA" w:rsidRDefault="009738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Posta elettronica certificata: COIC802007@pec.ist</w:t>
    </w: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ruzione.it</w:t>
    </w:r>
  </w:p>
  <w:p w14:paraId="000000B0" w14:textId="77777777" w:rsidR="004D24DA" w:rsidRDefault="004D24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22B4"/>
    <w:multiLevelType w:val="multilevel"/>
    <w:tmpl w:val="0E6243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4FD3C70"/>
    <w:multiLevelType w:val="multilevel"/>
    <w:tmpl w:val="A882F1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E87F26"/>
    <w:multiLevelType w:val="multilevel"/>
    <w:tmpl w:val="419A2B80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2D01C62"/>
    <w:multiLevelType w:val="multilevel"/>
    <w:tmpl w:val="21AADF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281188D"/>
    <w:multiLevelType w:val="multilevel"/>
    <w:tmpl w:val="2AC6348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5426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0DD5309"/>
    <w:multiLevelType w:val="multilevel"/>
    <w:tmpl w:val="B3601D0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CDC04C2"/>
    <w:multiLevelType w:val="multilevel"/>
    <w:tmpl w:val="516E70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DA"/>
    <w:rsid w:val="00451C79"/>
    <w:rsid w:val="004D24DA"/>
    <w:rsid w:val="008C0FE9"/>
    <w:rsid w:val="009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D9077"/>
  <w15:docId w15:val="{93F85B4B-4064-D847-8363-102AAE9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02007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3183</Words>
  <Characters>18146</Characters>
  <Application>Microsoft Office Word</Application>
  <DocSecurity>0</DocSecurity>
  <Lines>151</Lines>
  <Paragraphs>42</Paragraphs>
  <ScaleCrop>false</ScaleCrop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Brunelli</cp:lastModifiedBy>
  <cp:revision>2</cp:revision>
  <dcterms:created xsi:type="dcterms:W3CDTF">2021-12-19T18:39:00Z</dcterms:created>
  <dcterms:modified xsi:type="dcterms:W3CDTF">2021-12-19T18:39:00Z</dcterms:modified>
</cp:coreProperties>
</file>